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974" w14:textId="77777777" w:rsidR="008F47EA" w:rsidRDefault="008F47EA" w:rsidP="008F47EA"/>
    <w:tbl>
      <w:tblPr>
        <w:tblW w:w="0" w:type="auto"/>
        <w:tblCellMar>
          <w:left w:w="0" w:type="dxa"/>
          <w:right w:w="0" w:type="dxa"/>
        </w:tblCellMar>
        <w:tblLook w:val="04A0" w:firstRow="1" w:lastRow="0" w:firstColumn="1" w:lastColumn="0" w:noHBand="0" w:noVBand="1"/>
      </w:tblPr>
      <w:tblGrid>
        <w:gridCol w:w="36"/>
      </w:tblGrid>
      <w:tr w:rsidR="008F47EA" w14:paraId="07500848" w14:textId="77777777" w:rsidTr="008F47EA">
        <w:tc>
          <w:tcPr>
            <w:tcW w:w="0" w:type="auto"/>
            <w:tcMar>
              <w:top w:w="15" w:type="dxa"/>
              <w:left w:w="15" w:type="dxa"/>
              <w:bottom w:w="15" w:type="dxa"/>
              <w:right w:w="15" w:type="dxa"/>
            </w:tcMar>
            <w:vAlign w:val="center"/>
            <w:hideMark/>
          </w:tcPr>
          <w:p w14:paraId="74233FB5" w14:textId="77777777" w:rsidR="008F47EA" w:rsidRDefault="008F47EA">
            <w:bookmarkStart w:id="0" w:name="gd_top"/>
          </w:p>
        </w:tc>
      </w:tr>
      <w:bookmarkEnd w:id="0"/>
    </w:tbl>
    <w:p w14:paraId="245A59A5" w14:textId="77777777" w:rsidR="008F47EA" w:rsidRDefault="008F47EA" w:rsidP="008F47EA">
      <w:pPr>
        <w:rPr>
          <w:lang w:val="en"/>
        </w:rPr>
      </w:pPr>
    </w:p>
    <w:tbl>
      <w:tblPr>
        <w:tblW w:w="5000" w:type="pct"/>
        <w:jc w:val="center"/>
        <w:tblCellMar>
          <w:left w:w="0" w:type="dxa"/>
          <w:right w:w="0" w:type="dxa"/>
        </w:tblCellMar>
        <w:tblLook w:val="04A0" w:firstRow="1" w:lastRow="0" w:firstColumn="1" w:lastColumn="0" w:noHBand="0" w:noVBand="1"/>
      </w:tblPr>
      <w:tblGrid>
        <w:gridCol w:w="9360"/>
      </w:tblGrid>
      <w:tr w:rsidR="008F47EA" w14:paraId="54F421F5" w14:textId="77777777" w:rsidTr="008F47EA">
        <w:trPr>
          <w:jc w:val="center"/>
        </w:trPr>
        <w:tc>
          <w:tcPr>
            <w:tcW w:w="5000" w:type="pct"/>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8"/>
              <w:gridCol w:w="6"/>
            </w:tblGrid>
            <w:tr w:rsidR="008F47EA" w14:paraId="39EF624A" w14:textId="77777777">
              <w:trPr>
                <w:jc w:val="center"/>
              </w:trPr>
              <w:tc>
                <w:tcPr>
                  <w:tcW w:w="0" w:type="auto"/>
                  <w:tcMar>
                    <w:top w:w="300" w:type="dxa"/>
                    <w:left w:w="0" w:type="dxa"/>
                    <w:bottom w:w="300" w:type="dxa"/>
                    <w:right w:w="0" w:type="dxa"/>
                  </w:tcMar>
                  <w:vAlign w:val="center"/>
                  <w:hideMark/>
                </w:tcPr>
                <w:p w14:paraId="392DDE37" w14:textId="77777777" w:rsidR="008F47EA" w:rsidRDefault="008F47EA">
                  <w:pPr>
                    <w:rPr>
                      <w:lang w:val="en"/>
                    </w:rPr>
                  </w:pPr>
                </w:p>
              </w:tc>
              <w:tc>
                <w:tcPr>
                  <w:tcW w:w="0" w:type="auto"/>
                  <w:tcMar>
                    <w:top w:w="300" w:type="dxa"/>
                    <w:left w:w="0" w:type="dxa"/>
                    <w:bottom w:w="300" w:type="dxa"/>
                    <w:right w:w="0" w:type="dxa"/>
                  </w:tcMar>
                  <w:vAlign w:val="center"/>
                </w:tcPr>
                <w:tbl>
                  <w:tblPr>
                    <w:tblW w:w="9000" w:type="dxa"/>
                    <w:jc w:val="center"/>
                    <w:tblCellMar>
                      <w:left w:w="0" w:type="dxa"/>
                      <w:right w:w="0" w:type="dxa"/>
                    </w:tblCellMar>
                    <w:tblLook w:val="04A0" w:firstRow="1" w:lastRow="0" w:firstColumn="1" w:lastColumn="0" w:noHBand="0" w:noVBand="1"/>
                  </w:tblPr>
                  <w:tblGrid>
                    <w:gridCol w:w="9000"/>
                  </w:tblGrid>
                  <w:tr w:rsidR="008F47EA" w14:paraId="61513015"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47EA" w14:paraId="0231D7E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F47EA" w14:paraId="5DE13306"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F47EA" w14:paraId="782BA752" w14:textId="77777777">
                                      <w:trPr>
                                        <w:jc w:val="center"/>
                                      </w:trPr>
                                      <w:tc>
                                        <w:tcPr>
                                          <w:tcW w:w="0" w:type="auto"/>
                                          <w:tcMar>
                                            <w:top w:w="75" w:type="dxa"/>
                                            <w:left w:w="75" w:type="dxa"/>
                                            <w:bottom w:w="75" w:type="dxa"/>
                                            <w:right w:w="75" w:type="dxa"/>
                                          </w:tcMar>
                                          <w:vAlign w:val="center"/>
                                          <w:hideMark/>
                                        </w:tcPr>
                                        <w:p w14:paraId="2FB2C490" w14:textId="02878B37" w:rsidR="008F47EA" w:rsidRDefault="008F47EA">
                                          <w:r>
                                            <w:rPr>
                                              <w:noProof/>
                                            </w:rPr>
                                            <w:drawing>
                                              <wp:inline distT="0" distB="0" distL="0" distR="0" wp14:anchorId="6BAEB187" wp14:editId="16EFA487">
                                                <wp:extent cx="5619750" cy="933450"/>
                                                <wp:effectExtent l="0" t="0" r="0" b="0"/>
                                                <wp:docPr id="1101754663" name="Picture 1" descr="Governor, Lt. Governor ODJF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Lt. Governor ODJF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933450"/>
                                                        </a:xfrm>
                                                        <a:prstGeom prst="rect">
                                                          <a:avLst/>
                                                        </a:prstGeom>
                                                        <a:noFill/>
                                                        <a:ln>
                                                          <a:noFill/>
                                                        </a:ln>
                                                      </pic:spPr>
                                                    </pic:pic>
                                                  </a:graphicData>
                                                </a:graphic>
                                              </wp:inline>
                                            </w:drawing>
                                          </w:r>
                                        </w:p>
                                      </w:tc>
                                    </w:tr>
                                  </w:tbl>
                                  <w:p w14:paraId="3DBEDAEB" w14:textId="77777777" w:rsidR="008F47EA" w:rsidRDefault="008F47EA">
                                    <w:pPr>
                                      <w:jc w:val="center"/>
                                      <w:rPr>
                                        <w:rFonts w:ascii="Times New Roman" w:eastAsia="Times New Roman" w:hAnsi="Times New Roman" w:cs="Times New Roman"/>
                                        <w:sz w:val="20"/>
                                        <w:szCs w:val="20"/>
                                      </w:rPr>
                                    </w:pPr>
                                  </w:p>
                                </w:tc>
                              </w:tr>
                            </w:tbl>
                            <w:p w14:paraId="236F5C3A" w14:textId="77777777" w:rsidR="008F47EA" w:rsidRDefault="008F47EA">
                              <w:pPr>
                                <w:jc w:val="center"/>
                                <w:rPr>
                                  <w:rFonts w:ascii="Times New Roman" w:eastAsia="Times New Roman" w:hAnsi="Times New Roman" w:cs="Times New Roman"/>
                                  <w:sz w:val="20"/>
                                  <w:szCs w:val="20"/>
                                </w:rPr>
                              </w:pPr>
                            </w:p>
                          </w:tc>
                        </w:tr>
                      </w:tbl>
                      <w:p w14:paraId="4D340FDB" w14:textId="77777777" w:rsidR="008F47EA" w:rsidRDefault="008F47EA">
                        <w:pPr>
                          <w:jc w:val="center"/>
                          <w:rPr>
                            <w:rFonts w:ascii="Times New Roman" w:eastAsia="Times New Roman" w:hAnsi="Times New Roman" w:cs="Times New Roman"/>
                            <w:sz w:val="20"/>
                            <w:szCs w:val="20"/>
                          </w:rPr>
                        </w:pPr>
                      </w:p>
                    </w:tc>
                  </w:tr>
                </w:tbl>
                <w:p w14:paraId="02AE7936" w14:textId="77777777" w:rsidR="008F47EA" w:rsidRDefault="008F47EA"/>
                <w:tbl>
                  <w:tblPr>
                    <w:tblW w:w="9000" w:type="dxa"/>
                    <w:jc w:val="center"/>
                    <w:tblCellMar>
                      <w:left w:w="0" w:type="dxa"/>
                      <w:right w:w="0" w:type="dxa"/>
                    </w:tblCellMar>
                    <w:tblLook w:val="04A0" w:firstRow="1" w:lastRow="0" w:firstColumn="1" w:lastColumn="0" w:noHBand="0" w:noVBand="1"/>
                  </w:tblPr>
                  <w:tblGrid>
                    <w:gridCol w:w="9000"/>
                  </w:tblGrid>
                  <w:tr w:rsidR="008F47EA" w14:paraId="1F5AB706"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47EA" w14:paraId="7B22477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8F47EA" w14:paraId="6B7D7088" w14:textId="77777777">
                                <w:trPr>
                                  <w:jc w:val="center"/>
                                </w:trPr>
                                <w:tc>
                                  <w:tcPr>
                                    <w:tcW w:w="4500" w:type="dxa"/>
                                    <w:hideMark/>
                                  </w:tcPr>
                                  <w:tbl>
                                    <w:tblPr>
                                      <w:tblW w:w="5000" w:type="pct"/>
                                      <w:jc w:val="center"/>
                                      <w:tblCellMar>
                                        <w:left w:w="0" w:type="dxa"/>
                                        <w:right w:w="0" w:type="dxa"/>
                                      </w:tblCellMar>
                                      <w:tblLook w:val="04A0" w:firstRow="1" w:lastRow="0" w:firstColumn="1" w:lastColumn="0" w:noHBand="0" w:noVBand="1"/>
                                    </w:tblPr>
                                    <w:tblGrid>
                                      <w:gridCol w:w="4500"/>
                                    </w:tblGrid>
                                    <w:tr w:rsidR="008F47EA" w14:paraId="3B5F6FE2" w14:textId="77777777">
                                      <w:trPr>
                                        <w:jc w:val="center"/>
                                      </w:trPr>
                                      <w:tc>
                                        <w:tcPr>
                                          <w:tcW w:w="0" w:type="auto"/>
                                          <w:tcMar>
                                            <w:top w:w="75" w:type="dxa"/>
                                            <w:left w:w="75" w:type="dxa"/>
                                            <w:bottom w:w="75" w:type="dxa"/>
                                            <w:right w:w="75" w:type="dxa"/>
                                          </w:tcMar>
                                          <w:vAlign w:val="center"/>
                                          <w:hideMark/>
                                        </w:tcPr>
                                        <w:p w14:paraId="7A6CCF73" w14:textId="77777777" w:rsidR="008F47EA" w:rsidRDefault="008F47EA">
                                          <w:pPr>
                                            <w:pStyle w:val="NormalWeb"/>
                                            <w:spacing w:before="0" w:beforeAutospacing="0" w:after="240" w:afterAutospacing="0"/>
                                            <w:rPr>
                                              <w:rFonts w:ascii="Garamond" w:hAnsi="Garamond"/>
                                              <w:color w:val="232323"/>
                                            </w:rPr>
                                          </w:pPr>
                                          <w:r>
                                            <w:rPr>
                                              <w:rStyle w:val="Strong"/>
                                              <w:rFonts w:ascii="Garamond" w:hAnsi="Garamond"/>
                                              <w:color w:val="232323"/>
                                            </w:rPr>
                                            <w:t>FOR IMMEDIATE RELEASE:</w:t>
                                          </w:r>
                                          <w:r>
                                            <w:rPr>
                                              <w:rFonts w:ascii="Garamond" w:hAnsi="Garamond"/>
                                              <w:color w:val="232323"/>
                                            </w:rPr>
                                            <w:br/>
                                            <w:t>May 24, 2023</w:t>
                                          </w:r>
                                        </w:p>
                                      </w:tc>
                                    </w:tr>
                                  </w:tbl>
                                  <w:p w14:paraId="5753FA4E" w14:textId="77777777" w:rsidR="008F47EA" w:rsidRDefault="008F47EA">
                                    <w:pPr>
                                      <w:jc w:val="center"/>
                                      <w:rPr>
                                        <w:rFonts w:ascii="Times New Roman" w:eastAsia="Times New Roman" w:hAnsi="Times New Roman" w:cs="Times New Roman"/>
                                        <w:sz w:val="20"/>
                                        <w:szCs w:val="20"/>
                                      </w:rPr>
                                    </w:pPr>
                                  </w:p>
                                </w:tc>
                                <w:tc>
                                  <w:tcPr>
                                    <w:tcW w:w="4500" w:type="dxa"/>
                                    <w:hideMark/>
                                  </w:tcPr>
                                  <w:tbl>
                                    <w:tblPr>
                                      <w:tblW w:w="5000" w:type="pct"/>
                                      <w:jc w:val="center"/>
                                      <w:tblCellMar>
                                        <w:left w:w="0" w:type="dxa"/>
                                        <w:right w:w="0" w:type="dxa"/>
                                      </w:tblCellMar>
                                      <w:tblLook w:val="04A0" w:firstRow="1" w:lastRow="0" w:firstColumn="1" w:lastColumn="0" w:noHBand="0" w:noVBand="1"/>
                                    </w:tblPr>
                                    <w:tblGrid>
                                      <w:gridCol w:w="4500"/>
                                    </w:tblGrid>
                                    <w:tr w:rsidR="008F47EA" w14:paraId="30A43D5F" w14:textId="77777777">
                                      <w:trPr>
                                        <w:jc w:val="center"/>
                                      </w:trPr>
                                      <w:tc>
                                        <w:tcPr>
                                          <w:tcW w:w="0" w:type="auto"/>
                                          <w:tcMar>
                                            <w:top w:w="75" w:type="dxa"/>
                                            <w:left w:w="75" w:type="dxa"/>
                                            <w:bottom w:w="75" w:type="dxa"/>
                                            <w:right w:w="75" w:type="dxa"/>
                                          </w:tcMar>
                                          <w:vAlign w:val="center"/>
                                          <w:hideMark/>
                                        </w:tcPr>
                                        <w:p w14:paraId="4BB66DEF" w14:textId="77777777" w:rsidR="008F47EA" w:rsidRDefault="008F47EA">
                                          <w:pPr>
                                            <w:pStyle w:val="NormalWeb"/>
                                            <w:spacing w:before="0" w:beforeAutospacing="0" w:after="225" w:afterAutospacing="0"/>
                                            <w:jc w:val="right"/>
                                            <w:rPr>
                                              <w:rFonts w:ascii="Garamond" w:hAnsi="Garamond"/>
                                              <w:color w:val="232323"/>
                                            </w:rPr>
                                          </w:pPr>
                                          <w:r>
                                            <w:rPr>
                                              <w:rStyle w:val="Strong"/>
                                              <w:rFonts w:ascii="Garamond" w:hAnsi="Garamond"/>
                                              <w:color w:val="232323"/>
                                            </w:rPr>
                                            <w:t>MEDIA CONTACTS:</w:t>
                                          </w:r>
                                          <w:r>
                                            <w:rPr>
                                              <w:rFonts w:ascii="Garamond" w:hAnsi="Garamond"/>
                                              <w:b/>
                                              <w:bCs/>
                                              <w:color w:val="232323"/>
                                            </w:rPr>
                                            <w:br/>
                                          </w:r>
                                          <w:r>
                                            <w:rPr>
                                              <w:rFonts w:ascii="Garamond" w:hAnsi="Garamond"/>
                                              <w:color w:val="232323"/>
                                            </w:rPr>
                                            <w:t>Dan Tierney (Governor): 614-644-0957</w:t>
                                          </w:r>
                                          <w:r>
                                            <w:rPr>
                                              <w:rFonts w:ascii="Garamond" w:hAnsi="Garamond"/>
                                              <w:color w:val="232323"/>
                                            </w:rPr>
                                            <w:br/>
                                            <w:t>Hayley Carducci (LG): 614-404-8616</w:t>
                                          </w:r>
                                          <w:r>
                                            <w:rPr>
                                              <w:rFonts w:ascii="Garamond" w:hAnsi="Garamond"/>
                                              <w:color w:val="232323"/>
                                            </w:rPr>
                                            <w:br/>
                                            <w:t xml:space="preserve">Bill </w:t>
                                          </w:r>
                                          <w:proofErr w:type="spellStart"/>
                                          <w:r>
                                            <w:rPr>
                                              <w:rFonts w:ascii="Garamond" w:hAnsi="Garamond"/>
                                              <w:color w:val="232323"/>
                                            </w:rPr>
                                            <w:t>Teets</w:t>
                                          </w:r>
                                          <w:proofErr w:type="spellEnd"/>
                                          <w:r>
                                            <w:rPr>
                                              <w:rFonts w:ascii="Garamond" w:hAnsi="Garamond"/>
                                              <w:color w:val="232323"/>
                                            </w:rPr>
                                            <w:t xml:space="preserve"> (ODJFS): 614-403-2331</w:t>
                                          </w:r>
                                        </w:p>
                                      </w:tc>
                                    </w:tr>
                                  </w:tbl>
                                  <w:p w14:paraId="27D32D4B" w14:textId="77777777" w:rsidR="008F47EA" w:rsidRDefault="008F47EA">
                                    <w:pPr>
                                      <w:jc w:val="center"/>
                                      <w:rPr>
                                        <w:rFonts w:ascii="Times New Roman" w:eastAsia="Times New Roman" w:hAnsi="Times New Roman" w:cs="Times New Roman"/>
                                        <w:sz w:val="20"/>
                                        <w:szCs w:val="20"/>
                                      </w:rPr>
                                    </w:pPr>
                                  </w:p>
                                </w:tc>
                              </w:tr>
                            </w:tbl>
                            <w:p w14:paraId="46530CE3" w14:textId="77777777" w:rsidR="008F47EA" w:rsidRDefault="008F47EA">
                              <w:pPr>
                                <w:jc w:val="center"/>
                                <w:rPr>
                                  <w:rFonts w:ascii="Times New Roman" w:eastAsia="Times New Roman" w:hAnsi="Times New Roman" w:cs="Times New Roman"/>
                                  <w:sz w:val="20"/>
                                  <w:szCs w:val="20"/>
                                </w:rPr>
                              </w:pPr>
                            </w:p>
                          </w:tc>
                        </w:tr>
                      </w:tbl>
                      <w:p w14:paraId="6D1D7D3E" w14:textId="77777777" w:rsidR="008F47EA" w:rsidRDefault="008F47EA">
                        <w:pPr>
                          <w:jc w:val="center"/>
                          <w:rPr>
                            <w:rFonts w:ascii="Times New Roman" w:eastAsia="Times New Roman" w:hAnsi="Times New Roman" w:cs="Times New Roman"/>
                            <w:sz w:val="20"/>
                            <w:szCs w:val="20"/>
                          </w:rPr>
                        </w:pPr>
                      </w:p>
                    </w:tc>
                  </w:tr>
                </w:tbl>
                <w:p w14:paraId="762C32A0" w14:textId="77777777" w:rsidR="008F47EA" w:rsidRDefault="008F47EA"/>
                <w:tbl>
                  <w:tblPr>
                    <w:tblW w:w="9000" w:type="dxa"/>
                    <w:jc w:val="center"/>
                    <w:tblCellMar>
                      <w:left w:w="0" w:type="dxa"/>
                      <w:right w:w="0" w:type="dxa"/>
                    </w:tblCellMar>
                    <w:tblLook w:val="04A0" w:firstRow="1" w:lastRow="0" w:firstColumn="1" w:lastColumn="0" w:noHBand="0" w:noVBand="1"/>
                  </w:tblPr>
                  <w:tblGrid>
                    <w:gridCol w:w="9000"/>
                  </w:tblGrid>
                  <w:tr w:rsidR="008F47EA" w14:paraId="6708F10B"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F47EA" w14:paraId="2A69175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F47EA" w14:paraId="2C41B4EB"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F47EA" w14:paraId="3D9FE824" w14:textId="77777777">
                                      <w:trPr>
                                        <w:jc w:val="center"/>
                                      </w:trPr>
                                      <w:tc>
                                        <w:tcPr>
                                          <w:tcW w:w="0" w:type="auto"/>
                                          <w:tcMar>
                                            <w:top w:w="75" w:type="dxa"/>
                                            <w:left w:w="75" w:type="dxa"/>
                                            <w:bottom w:w="75" w:type="dxa"/>
                                            <w:right w:w="75" w:type="dxa"/>
                                          </w:tcMar>
                                          <w:vAlign w:val="center"/>
                                          <w:hideMark/>
                                        </w:tcPr>
                                        <w:p w14:paraId="189F0EFA" w14:textId="77777777" w:rsidR="008F47EA" w:rsidRDefault="008F47EA">
                                          <w:pPr>
                                            <w:pStyle w:val="Heading1"/>
                                            <w:spacing w:before="0" w:beforeAutospacing="0" w:after="300" w:afterAutospacing="0"/>
                                            <w:jc w:val="center"/>
                                            <w:rPr>
                                              <w:rFonts w:ascii="Garamond" w:eastAsia="Times New Roman" w:hAnsi="Garamond"/>
                                              <w:sz w:val="36"/>
                                              <w:szCs w:val="36"/>
                                            </w:rPr>
                                          </w:pPr>
                                          <w:r>
                                            <w:rPr>
                                              <w:rStyle w:val="Strong"/>
                                              <w:rFonts w:ascii="Garamond" w:eastAsia="Times New Roman" w:hAnsi="Garamond"/>
                                              <w:b/>
                                              <w:bCs/>
                                              <w:sz w:val="36"/>
                                              <w:szCs w:val="36"/>
                                            </w:rPr>
                                            <w:t>Governor DeWine, Lt. Governor Husted Announce Launch of New Statewide Online Portal to Streamline Adoption and Foster Care Process</w:t>
                                          </w:r>
                                        </w:p>
                                        <w:p w14:paraId="290E4132"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 xml:space="preserve">(COLUMBUS, Ohio)—Ohio Governor Mike DeWine and Lt. Governor Jon Husted today announced the launch of a statewide, </w:t>
                                          </w:r>
                                          <w:hyperlink r:id="rId5" w:tgtFrame="_blank" w:history="1">
                                            <w:r>
                                              <w:rPr>
                                                <w:rStyle w:val="Hyperlink"/>
                                                <w:rFonts w:ascii="Garamond" w:hAnsi="Garamond"/>
                                                <w:color w:val="1D5782"/>
                                              </w:rPr>
                                              <w:t>online portal</w:t>
                                            </w:r>
                                          </w:hyperlink>
                                          <w:r>
                                            <w:rPr>
                                              <w:rFonts w:ascii="Garamond" w:hAnsi="Garamond"/>
                                              <w:color w:val="232323"/>
                                            </w:rPr>
                                            <w:t xml:space="preserve"> where Ohioans can inquire and apply to become foster or adoptive parents.</w:t>
                                          </w:r>
                                        </w:p>
                                        <w:p w14:paraId="22E7F3BB"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“As a state, we must give our children the support they deserve to succeed, and that support includes an adult to care for them,” said Governor DeWine. “This new tool will streamline the foster parent and adoption certification process making it more accessible than ever.”</w:t>
                                          </w:r>
                                        </w:p>
                                        <w:p w14:paraId="377E1B3C"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“With about 15,000 young people in our foster care system, there’s no doubt Ohio needs more foster and adoptive families,” said Lt. Governor Husted. “I know firsthand the impact this will have, as I was in foster care and then adopted. Anything we can do to improve this process is going to make a difference in the lives of a lot of kids.”</w:t>
                                          </w:r>
                                        </w:p>
                                        <w:p w14:paraId="7BE79F84" w14:textId="77777777" w:rsidR="008F47EA" w:rsidRDefault="008F47EA">
                                          <w:pPr>
                                            <w:pStyle w:val="NormalWeb"/>
                                            <w:spacing w:before="0" w:beforeAutospacing="0" w:after="225" w:afterAutospacing="0"/>
                                            <w:rPr>
                                              <w:rFonts w:ascii="Garamond" w:hAnsi="Garamond"/>
                                              <w:color w:val="232323"/>
                                            </w:rPr>
                                          </w:pPr>
                                          <w:proofErr w:type="spellStart"/>
                                          <w:r>
                                            <w:rPr>
                                              <w:rFonts w:ascii="Garamond" w:hAnsi="Garamond"/>
                                              <w:color w:val="232323"/>
                                            </w:rPr>
                                            <w:t>InnovateOhio</w:t>
                                          </w:r>
                                          <w:proofErr w:type="spellEnd"/>
                                          <w:r>
                                            <w:rPr>
                                              <w:rFonts w:ascii="Garamond" w:hAnsi="Garamond"/>
                                              <w:color w:val="232323"/>
                                            </w:rPr>
                                            <w:t xml:space="preserve"> and the Ohio Department of Job and Family Services (ODJFS) developed OCAF with the goal to make Ohio a leader in simplifying the pathway toward becoming a foster or adoptive parent. The new tool gives users the ability to complete and submit applications electronically, whereas before it was all done on paper. The redesigned online application creates a more streamlined, user-friendly experience that increases efficiency and accuracy.</w:t>
                                          </w:r>
                                        </w:p>
                                        <w:p w14:paraId="7FDF792B"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 xml:space="preserve">Prospective caregivers can access the portal from Ohio’s </w:t>
                                          </w:r>
                                          <w:hyperlink r:id="rId6" w:history="1">
                                            <w:r>
                                              <w:rPr>
                                                <w:rStyle w:val="Hyperlink"/>
                                                <w:rFonts w:ascii="Garamond" w:hAnsi="Garamond"/>
                                                <w:color w:val="1D5782"/>
                                              </w:rPr>
                                              <w:t>FosterandAdopt.ohio.gov</w:t>
                                            </w:r>
                                          </w:hyperlink>
                                          <w:r>
                                            <w:rPr>
                                              <w:rFonts w:ascii="Garamond" w:hAnsi="Garamond"/>
                                              <w:color w:val="232323"/>
                                            </w:rPr>
                                            <w:t xml:space="preserve"> website and can either select an agency they prefer to work with or from a local agency chosen at random. Live chat support will be available during regular business hours.</w:t>
                                          </w:r>
                                        </w:p>
                                        <w:p w14:paraId="3B386E51"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“If Ohioans are willing to open their hearts and homes to youth in foster care, we want to break down the barriers that stand in the way,” said ODJFS Director Matt Damschroder. “The OCAF portal does just that.”</w:t>
                                          </w:r>
                                        </w:p>
                                        <w:p w14:paraId="7EECF177"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lastRenderedPageBreak/>
                                            <w:t>Agencies and state administrators now have access to data dashboards and reports that highlight, in real-time, inquiry and application data across the state and by the agency. This also enables easier and more direct communications with interested individuals and families.</w:t>
                                          </w:r>
                                        </w:p>
                                        <w:p w14:paraId="62F84C7A"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Later this year, Ohio agencies, group homes, and residential facilities will be able to use OCAF to complete inquiries, applications, and certifications. Eventually, it will be a one-stop-shop for prospective and certified caregivers to track their progress in pre-service training as well as the home study and certification processes.</w:t>
                                          </w:r>
                                        </w:p>
                                        <w:p w14:paraId="6A9AD409" w14:textId="77777777" w:rsidR="008F47EA" w:rsidRDefault="008F47EA">
                                          <w:pPr>
                                            <w:pStyle w:val="NormalWeb"/>
                                            <w:spacing w:before="0" w:beforeAutospacing="0" w:after="225" w:afterAutospacing="0"/>
                                            <w:rPr>
                                              <w:rFonts w:ascii="Garamond" w:hAnsi="Garamond"/>
                                              <w:color w:val="232323"/>
                                            </w:rPr>
                                          </w:pPr>
                                          <w:r>
                                            <w:rPr>
                                              <w:rFonts w:ascii="Garamond" w:hAnsi="Garamond"/>
                                              <w:color w:val="232323"/>
                                            </w:rPr>
                                            <w:t xml:space="preserve">For more information, contact your </w:t>
                                          </w:r>
                                          <w:hyperlink r:id="rId7" w:tgtFrame="_blank" w:tooltip="Statewide Directory" w:history="1">
                                            <w:r>
                                              <w:rPr>
                                                <w:rStyle w:val="Hyperlink"/>
                                                <w:rFonts w:ascii="Garamond" w:hAnsi="Garamond"/>
                                                <w:color w:val="1D5782"/>
                                              </w:rPr>
                                              <w:t>local children services agency</w:t>
                                            </w:r>
                                          </w:hyperlink>
                                          <w:r>
                                            <w:rPr>
                                              <w:rFonts w:ascii="Garamond" w:hAnsi="Garamond"/>
                                              <w:color w:val="232323"/>
                                            </w:rPr>
                                            <w:t>.</w:t>
                                          </w:r>
                                        </w:p>
                                        <w:p w14:paraId="50C556CD" w14:textId="77777777" w:rsidR="008F47EA" w:rsidRDefault="008F47EA">
                                          <w:pPr>
                                            <w:pStyle w:val="NormalWeb"/>
                                            <w:spacing w:before="0" w:beforeAutospacing="0" w:after="225" w:afterAutospacing="0"/>
                                            <w:jc w:val="center"/>
                                            <w:rPr>
                                              <w:rFonts w:ascii="Garamond" w:hAnsi="Garamond"/>
                                              <w:color w:val="232323"/>
                                            </w:rPr>
                                          </w:pPr>
                                          <w:r>
                                            <w:rPr>
                                              <w:rStyle w:val="Strong"/>
                                              <w:rFonts w:ascii="Garamond" w:hAnsi="Garamond"/>
                                              <w:color w:val="232323"/>
                                            </w:rPr>
                                            <w:t>-30-</w:t>
                                          </w:r>
                                        </w:p>
                                      </w:tc>
                                    </w:tr>
                                  </w:tbl>
                                  <w:p w14:paraId="3A99759C" w14:textId="77777777" w:rsidR="008F47EA" w:rsidRDefault="008F47EA">
                                    <w:pPr>
                                      <w:jc w:val="center"/>
                                      <w:rPr>
                                        <w:rFonts w:ascii="Times New Roman" w:eastAsia="Times New Roman" w:hAnsi="Times New Roman" w:cs="Times New Roman"/>
                                        <w:sz w:val="20"/>
                                        <w:szCs w:val="20"/>
                                      </w:rPr>
                                    </w:pPr>
                                  </w:p>
                                </w:tc>
                              </w:tr>
                            </w:tbl>
                            <w:p w14:paraId="6FC66DA4" w14:textId="77777777" w:rsidR="008F47EA" w:rsidRDefault="008F47EA">
                              <w:pPr>
                                <w:jc w:val="center"/>
                                <w:rPr>
                                  <w:rFonts w:ascii="Times New Roman" w:eastAsia="Times New Roman" w:hAnsi="Times New Roman" w:cs="Times New Roman"/>
                                  <w:sz w:val="20"/>
                                  <w:szCs w:val="20"/>
                                </w:rPr>
                              </w:pPr>
                            </w:p>
                          </w:tc>
                        </w:tr>
                      </w:tbl>
                      <w:p w14:paraId="1CB1AB65" w14:textId="77777777" w:rsidR="008F47EA" w:rsidRDefault="008F47EA">
                        <w:pPr>
                          <w:jc w:val="center"/>
                          <w:rPr>
                            <w:rFonts w:ascii="Times New Roman" w:eastAsia="Times New Roman" w:hAnsi="Times New Roman" w:cs="Times New Roman"/>
                            <w:sz w:val="20"/>
                            <w:szCs w:val="20"/>
                          </w:rPr>
                        </w:pPr>
                      </w:p>
                    </w:tc>
                  </w:tr>
                </w:tbl>
                <w:p w14:paraId="5D142B68" w14:textId="77777777" w:rsidR="008F47EA" w:rsidRDefault="008F47EA">
                  <w:pPr>
                    <w:jc w:val="center"/>
                  </w:pPr>
                </w:p>
              </w:tc>
              <w:tc>
                <w:tcPr>
                  <w:tcW w:w="0" w:type="auto"/>
                  <w:tcMar>
                    <w:top w:w="300" w:type="dxa"/>
                    <w:left w:w="0" w:type="dxa"/>
                    <w:bottom w:w="300" w:type="dxa"/>
                    <w:right w:w="0" w:type="dxa"/>
                  </w:tcMar>
                  <w:vAlign w:val="center"/>
                  <w:hideMark/>
                </w:tcPr>
                <w:p w14:paraId="69D20AA6" w14:textId="77777777" w:rsidR="008F47EA" w:rsidRDefault="008F47EA"/>
              </w:tc>
            </w:tr>
          </w:tbl>
          <w:p w14:paraId="2F9A7E83" w14:textId="77777777" w:rsidR="008F47EA" w:rsidRDefault="008F47EA">
            <w:pPr>
              <w:jc w:val="center"/>
              <w:rPr>
                <w:rFonts w:ascii="Times New Roman" w:eastAsia="Times New Roman" w:hAnsi="Times New Roman" w:cs="Times New Roman"/>
                <w:sz w:val="20"/>
                <w:szCs w:val="20"/>
              </w:rPr>
            </w:pPr>
          </w:p>
        </w:tc>
      </w:tr>
    </w:tbl>
    <w:p w14:paraId="3B8B4E5F" w14:textId="77777777" w:rsidR="00263B6A" w:rsidRDefault="00263B6A"/>
    <w:sectPr w:rsidR="0026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EA"/>
    <w:rsid w:val="00263B6A"/>
    <w:rsid w:val="008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BA12"/>
  <w15:chartTrackingRefBased/>
  <w15:docId w15:val="{5327CE76-9C1A-494A-8050-9408A312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EA"/>
    <w:pPr>
      <w:spacing w:after="0" w:line="240" w:lineRule="auto"/>
    </w:pPr>
    <w:rPr>
      <w:rFonts w:ascii="Calibri" w:hAnsi="Calibri" w:cs="Calibri"/>
    </w:rPr>
  </w:style>
  <w:style w:type="paragraph" w:styleId="Heading1">
    <w:name w:val="heading 1"/>
    <w:basedOn w:val="Normal"/>
    <w:link w:val="Heading1Char"/>
    <w:uiPriority w:val="9"/>
    <w:qFormat/>
    <w:rsid w:val="008F47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EA"/>
    <w:rPr>
      <w:rFonts w:ascii="Calibri" w:hAnsi="Calibri" w:cs="Calibri"/>
      <w:b/>
      <w:bCs/>
      <w:kern w:val="36"/>
      <w:sz w:val="48"/>
      <w:szCs w:val="48"/>
    </w:rPr>
  </w:style>
  <w:style w:type="character" w:styleId="Hyperlink">
    <w:name w:val="Hyperlink"/>
    <w:basedOn w:val="DefaultParagraphFont"/>
    <w:uiPriority w:val="99"/>
    <w:semiHidden/>
    <w:unhideWhenUsed/>
    <w:rsid w:val="008F47EA"/>
    <w:rPr>
      <w:color w:val="0000FF"/>
      <w:u w:val="single"/>
    </w:rPr>
  </w:style>
  <w:style w:type="paragraph" w:styleId="NormalWeb">
    <w:name w:val="Normal (Web)"/>
    <w:basedOn w:val="Normal"/>
    <w:uiPriority w:val="99"/>
    <w:semiHidden/>
    <w:unhideWhenUsed/>
    <w:rsid w:val="008F47EA"/>
    <w:pPr>
      <w:spacing w:before="100" w:beforeAutospacing="1" w:after="100" w:afterAutospacing="1"/>
    </w:pPr>
  </w:style>
  <w:style w:type="character" w:styleId="Strong">
    <w:name w:val="Strong"/>
    <w:basedOn w:val="DefaultParagraphFont"/>
    <w:uiPriority w:val="22"/>
    <w:qFormat/>
    <w:rsid w:val="008F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nks.gd/l/eyJhbGciOiJIUzI1NiJ9.eyJidWxsZXRpbl9saW5rX2lkIjoxMDIsInVyaSI6ImJwMjpjbGljayIsInVybCI6Imh0dHBzOi8vZm9zdGVyYW5kYWRvcHQuamZzLm9oaW8uZ292L3dwcy93Y20vY29ubmVjdC9nb3YvODMyZDY3MjQtYTdjNC00MjEwLWJlNjctNGQ2NDA1ZWI1YTgyL09DQS1JVEgtU3RhdGV3aWRlLURpcmVjdG9yeS1QREYtRklOQUwucGRmP01PRD1BSlBFUkVTJkNWSUQ9b2o0dnBUdiIsImJ1bGxldGluX2lkIjoiMjAyMzA1MjQuNzcyMTQ1NzEifQ.-bLokoaGE1JLiy-IJl7hHiV_XhIo6tO5lpgBcm1P_uE/s/1842807377/br/20363349227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nVybCI6Imh0dHA6Ly9mb3N0ZXJhbmRhZG9wdC5vaGlvLmdvdi8iLCJidWxsZXRpbl9pZCI6IjIwMjMwNTI0Ljc3MjE0NTcxIn0.bcLIug0w86h_qDehXZAOWLHtI0eTpjl7mxp5IfToK0M/s/1842807377/br/203633492277-l" TargetMode="External"/><Relationship Id="rId5" Type="http://schemas.openxmlformats.org/officeDocument/2006/relationships/hyperlink" Target="https://lnks.gd/l/eyJhbGciOiJIUzI1NiJ9.eyJidWxsZXRpbl9saW5rX2lkIjoxMDAsInVyaSI6ImJwMjpjbGljayIsInVybCI6Imh0dHBzOi8vZm9zdGVyYW5kYWRvcHQuamZzLm9oaW8uZ292LyIsImJ1bGxldGluX2lkIjoiMjAyMzA1MjQuNzcyMTQ1NzEifQ.TxXRsTnq0g71xbBqR8Q2MSClWd7zCmsDcFui_JMNkqQ/s/1842807377/br/203633492277-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Meredith</dc:creator>
  <cp:keywords/>
  <dc:description/>
  <cp:lastModifiedBy>Tyra Meredith</cp:lastModifiedBy>
  <cp:revision>1</cp:revision>
  <dcterms:created xsi:type="dcterms:W3CDTF">2023-05-25T12:21:00Z</dcterms:created>
  <dcterms:modified xsi:type="dcterms:W3CDTF">2023-05-25T12:21:00Z</dcterms:modified>
</cp:coreProperties>
</file>